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19CEE" w14:textId="51B1557C" w:rsidR="005F1812" w:rsidRPr="0052548E" w:rsidRDefault="005F1812" w:rsidP="005F1812">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Pr="008F5D6A">
        <w:rPr>
          <w:rFonts w:ascii="Arial" w:hAnsi="Arial" w:cs="Arial"/>
          <w:b/>
          <w:bCs/>
          <w:sz w:val="28"/>
        </w:rPr>
        <w:t>R1-19</w:t>
      </w:r>
      <w:r w:rsidRPr="008F5D6A">
        <w:rPr>
          <w:rFonts w:ascii="Arial" w:hAnsi="Arial" w:cs="Arial"/>
          <w:b/>
          <w:bCs/>
          <w:sz w:val="28"/>
        </w:rPr>
        <w:t>12957</w:t>
      </w:r>
    </w:p>
    <w:p w14:paraId="24AE35FF" w14:textId="43404A8A" w:rsidR="005F1812" w:rsidRPr="008F5D6A" w:rsidRDefault="005F1812" w:rsidP="005F1812">
      <w:pPr>
        <w:tabs>
          <w:tab w:val="center" w:pos="4536"/>
          <w:tab w:val="right" w:pos="9072"/>
        </w:tabs>
        <w:rPr>
          <w:rFonts w:ascii="Arial" w:eastAsia="MS Mincho" w:hAnsi="Arial" w:cs="Arial" w:hint="eastAsia"/>
          <w:b/>
          <w:bCs/>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r>
        <w:rPr>
          <w:rFonts w:ascii="Arial" w:eastAsia="MS Mincho" w:hAnsi="Arial" w:cs="Arial"/>
          <w:b/>
          <w:bCs/>
          <w:sz w:val="28"/>
          <w:lang w:eastAsia="ja-JP"/>
        </w:rPr>
        <w:t xml:space="preserve">                          </w:t>
      </w:r>
      <w:r w:rsidRPr="008F5D6A">
        <w:rPr>
          <w:rFonts w:ascii="Arial" w:eastAsia="MS Mincho" w:hAnsi="Arial" w:cs="Arial"/>
          <w:b/>
          <w:bCs/>
          <w:lang w:eastAsia="ja-JP"/>
        </w:rPr>
        <w:t>Resubmission of R1-1911116</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bookmarkStart w:id="2" w:name="_GoBack"/>
      <w:bookmarkEnd w:id="2"/>
    </w:p>
    <w:p w14:paraId="0DCC4F68" w14:textId="5D50C5F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A67D7E">
        <w:rPr>
          <w:rFonts w:ascii="Arial" w:hAnsi="Arial"/>
          <w:sz w:val="24"/>
        </w:rPr>
        <w:t>4</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D6C0CED"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54F91">
        <w:rPr>
          <w:rFonts w:ascii="Arial" w:hAnsi="Arial"/>
          <w:sz w:val="22"/>
        </w:rPr>
        <w:t>Delay-Tolerant Retransmission Mechanisms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09601EDF" w14:textId="77777777" w:rsidR="00A279B6" w:rsidRDefault="00D413A4" w:rsidP="00C43315">
      <w:pPr>
        <w:widowControl w:val="0"/>
        <w:jc w:val="both"/>
      </w:pPr>
      <w:r>
        <w:t>In RAN meeting #</w:t>
      </w:r>
      <w:r w:rsidR="00A279B6">
        <w:t>98</w:t>
      </w:r>
      <w:r>
        <w:t xml:space="preserve">, </w:t>
      </w:r>
      <w:r w:rsidR="00A279B6">
        <w:t>it was concluded that</w:t>
      </w:r>
    </w:p>
    <w:p w14:paraId="6145C9DB" w14:textId="77777777" w:rsidR="00A279B6" w:rsidRPr="00A279B6" w:rsidRDefault="00A279B6" w:rsidP="00A80FF3">
      <w:pPr>
        <w:ind w:left="288"/>
        <w:rPr>
          <w:b/>
          <w:i/>
          <w:lang w:eastAsia="x-none"/>
        </w:rPr>
      </w:pPr>
      <w:r w:rsidRPr="00A279B6">
        <w:rPr>
          <w:b/>
          <w:i/>
          <w:lang w:eastAsia="x-none"/>
        </w:rPr>
        <w:t>Conclusion:</w:t>
      </w:r>
    </w:p>
    <w:p w14:paraId="4D5DB173" w14:textId="77777777" w:rsidR="00A279B6" w:rsidRDefault="00A279B6" w:rsidP="00A80FF3">
      <w:pPr>
        <w:ind w:left="288"/>
        <w:rPr>
          <w:lang w:eastAsia="x-none"/>
        </w:rPr>
      </w:pPr>
      <w:r>
        <w:rPr>
          <w:lang w:eastAsia="x-none"/>
        </w:rPr>
        <w:t xml:space="preserve">RAN1 does not need to further discuss dynamic disabling of HARQ by </w:t>
      </w:r>
      <w:proofErr w:type="spellStart"/>
      <w:r>
        <w:rPr>
          <w:lang w:eastAsia="x-none"/>
        </w:rPr>
        <w:t>gNB</w:t>
      </w:r>
      <w:proofErr w:type="spellEnd"/>
      <w:r>
        <w:rPr>
          <w:lang w:eastAsia="x-none"/>
        </w:rPr>
        <w:t xml:space="preserve"> following the RAN2#107 decision stating the following</w:t>
      </w:r>
    </w:p>
    <w:p w14:paraId="1E6D574E" w14:textId="050329B1" w:rsidR="00A279B6" w:rsidRDefault="00A279B6" w:rsidP="00A80FF3">
      <w:pPr>
        <w:numPr>
          <w:ilvl w:val="0"/>
          <w:numId w:val="20"/>
        </w:numPr>
        <w:overflowPunct/>
        <w:autoSpaceDE/>
        <w:autoSpaceDN/>
        <w:adjustRightInd/>
        <w:spacing w:after="0"/>
        <w:ind w:left="1008"/>
        <w:textAlignment w:val="auto"/>
        <w:rPr>
          <w:lang w:eastAsia="x-none"/>
        </w:rPr>
      </w:pPr>
      <w:r>
        <w:rPr>
          <w:lang w:eastAsia="x-none"/>
        </w:rPr>
        <w:t>The enabling / disabling of HARQ feedback should be configurable on a per UE and per HARQ process basis</w:t>
      </w:r>
      <w:r w:rsidR="00A80FF3">
        <w:rPr>
          <w:lang w:eastAsia="x-none"/>
        </w:rPr>
        <w:t>.</w:t>
      </w:r>
    </w:p>
    <w:p w14:paraId="43CD7113" w14:textId="77777777" w:rsidR="007C586D" w:rsidRPr="00F832C3" w:rsidRDefault="007C586D" w:rsidP="007C586D">
      <w:pPr>
        <w:pStyle w:val="ListParagraph"/>
        <w:rPr>
          <w:rFonts w:ascii="Times New Roman" w:hAnsi="Times New Roman"/>
          <w:i/>
          <w:sz w:val="20"/>
          <w:szCs w:val="20"/>
        </w:rPr>
      </w:pPr>
    </w:p>
    <w:p w14:paraId="7366D83D" w14:textId="5B55115B" w:rsidR="00364DA6" w:rsidRPr="002B5CA6" w:rsidRDefault="007C586D" w:rsidP="002B5CA6">
      <w:pPr>
        <w:widowControl w:val="0"/>
        <w:jc w:val="both"/>
      </w:pPr>
      <w:r>
        <w:t>In this contribution, we discuss</w:t>
      </w:r>
      <w:r w:rsidR="00704423">
        <w:t xml:space="preserve"> </w:t>
      </w:r>
      <w:r w:rsidR="00096CC0">
        <w:t xml:space="preserve">other issues related to </w:t>
      </w:r>
      <w:r w:rsidR="00F54F91">
        <w:t>retransmission</w:t>
      </w:r>
      <w:r w:rsidR="00582E40">
        <w:t>s in</w:t>
      </w:r>
      <w:r w:rsidR="00074172">
        <w:t xml:space="preserve"> NTN. </w:t>
      </w:r>
      <w:bookmarkStart w:id="3" w:name="_Ref473802466"/>
      <w:bookmarkStart w:id="4" w:name="_Ref462669569"/>
    </w:p>
    <w:p w14:paraId="16A7D9BB" w14:textId="77777777" w:rsidR="00364DA6" w:rsidRDefault="00364DA6" w:rsidP="00364DA6">
      <w:pPr>
        <w:pStyle w:val="Heading1"/>
      </w:pPr>
      <w:r>
        <w:t>Number of HARQ Processes</w:t>
      </w:r>
    </w:p>
    <w:p w14:paraId="714AD401" w14:textId="77777777" w:rsidR="001D30AD" w:rsidRDefault="001D30AD" w:rsidP="00D5483F">
      <w:pPr>
        <w:tabs>
          <w:tab w:val="left" w:pos="1752"/>
        </w:tabs>
        <w:rPr>
          <w:lang w:val="en-GB"/>
        </w:rPr>
      </w:pPr>
      <w:r>
        <w:rPr>
          <w:lang w:val="en-GB"/>
        </w:rPr>
        <w:t xml:space="preserve">In NTN, the round-trip delay can be about 600 </w:t>
      </w:r>
      <w:proofErr w:type="spellStart"/>
      <w:r>
        <w:rPr>
          <w:lang w:val="en-GB"/>
        </w:rPr>
        <w:t>ms</w:t>
      </w:r>
      <w:proofErr w:type="spellEnd"/>
      <w:r>
        <w:rPr>
          <w:lang w:val="en-GB"/>
        </w:rPr>
        <w:t xml:space="preserve"> for GEO satellites to a few tens of millisecond for LEO satellites. For GEO satellites retransmissions may not be preferred due to its very large round-trip delay (RTD), whereas for LEO satellites, HARQ can still be used with some limit on the number of retransmissions to ensure latency within a certain limit.  In addition, the use of HARQ also depends on the type of services: for LEO satellites, it may be possible to have HARQ for regular data traffics such as web browsing; it is not sensible to have HARQ for most of the streaming services. </w:t>
      </w:r>
    </w:p>
    <w:p w14:paraId="0D963CA3" w14:textId="5688B119" w:rsidR="00C34B33" w:rsidRDefault="00364DA6" w:rsidP="00D5483F">
      <w:pPr>
        <w:tabs>
          <w:tab w:val="left" w:pos="1752"/>
        </w:tabs>
        <w:rPr>
          <w:lang w:val="en-GB"/>
        </w:rPr>
      </w:pPr>
      <w:r>
        <w:rPr>
          <w:lang w:val="en-GB"/>
        </w:rPr>
        <w:t>In order to support high data rates</w:t>
      </w:r>
      <w:r w:rsidR="00355231">
        <w:rPr>
          <w:lang w:val="en-GB"/>
        </w:rPr>
        <w:t xml:space="preserve"> in LEO satellites</w:t>
      </w:r>
      <w:r>
        <w:rPr>
          <w:lang w:val="en-GB"/>
        </w:rPr>
        <w:t xml:space="preserve">, the number of HARQ processes must be larger than the number of slots in a time duration as long as the RTD. Assuming 32 </w:t>
      </w:r>
      <w:proofErr w:type="spellStart"/>
      <w:r>
        <w:rPr>
          <w:lang w:val="en-GB"/>
        </w:rPr>
        <w:t>ms</w:t>
      </w:r>
      <w:proofErr w:type="spellEnd"/>
      <w:r>
        <w:rPr>
          <w:lang w:val="en-GB"/>
        </w:rPr>
        <w:t xml:space="preserve"> RTD and 120 kHz subcarrier spacing (SCS), the number of HARQ processes needed </w:t>
      </w:r>
      <w:r w:rsidR="006A5025">
        <w:rPr>
          <w:lang w:val="en-GB"/>
        </w:rPr>
        <w:t xml:space="preserve">is </w:t>
      </w:r>
      <w:r>
        <w:rPr>
          <w:lang w:val="en-GB"/>
        </w:rPr>
        <w:t>256. This may require a huge buffer at the UE side. As a result, UE capability on the number of HARQ processes needs to be reported.</w:t>
      </w:r>
    </w:p>
    <w:p w14:paraId="2599FD52" w14:textId="5D476DAE" w:rsidR="00364DA6" w:rsidRPr="00364DA6" w:rsidRDefault="00364DA6" w:rsidP="00D5483F">
      <w:pPr>
        <w:tabs>
          <w:tab w:val="left" w:pos="1752"/>
        </w:tabs>
        <w:rPr>
          <w:b/>
          <w:lang w:val="en-GB"/>
        </w:rPr>
      </w:pPr>
      <w:r w:rsidRPr="00364DA6">
        <w:rPr>
          <w:b/>
          <w:lang w:val="en-GB"/>
        </w:rPr>
        <w:t xml:space="preserve">Proposal </w:t>
      </w:r>
      <w:r w:rsidR="00355231">
        <w:rPr>
          <w:b/>
          <w:lang w:val="en-GB"/>
        </w:rPr>
        <w:t>1</w:t>
      </w:r>
      <w:r w:rsidRPr="00364DA6">
        <w:rPr>
          <w:b/>
          <w:lang w:val="en-GB"/>
        </w:rPr>
        <w:t>: For NTN, UE reports the capability on the number of HARQ processes.</w:t>
      </w:r>
    </w:p>
    <w:p w14:paraId="0BE2B8FF" w14:textId="587F5565" w:rsidR="00C34B33" w:rsidRDefault="00C34B33" w:rsidP="00D5483F">
      <w:pPr>
        <w:tabs>
          <w:tab w:val="left" w:pos="1752"/>
        </w:tabs>
        <w:rPr>
          <w:lang w:val="en-GB"/>
        </w:rPr>
      </w:pPr>
      <w:r>
        <w:rPr>
          <w:lang w:val="en-GB"/>
        </w:rPr>
        <w:t xml:space="preserve">Based on UE’s capability, network may configure a smaller number of HARQ processes to be supported by the UE. </w:t>
      </w:r>
      <w:r w:rsidR="00364DA6">
        <w:rPr>
          <w:lang w:val="en-GB"/>
        </w:rPr>
        <w:t xml:space="preserve"> </w:t>
      </w:r>
      <w:r>
        <w:rPr>
          <w:lang w:val="en-GB"/>
        </w:rPr>
        <w:t>The maximal number of HARQ processes configured to a UE can be larger than 16.</w:t>
      </w:r>
    </w:p>
    <w:p w14:paraId="27FBED44" w14:textId="0F3E40BD" w:rsidR="00C34B33" w:rsidRPr="00C34B33" w:rsidRDefault="00C34B33" w:rsidP="00D5483F">
      <w:pPr>
        <w:tabs>
          <w:tab w:val="left" w:pos="1752"/>
        </w:tabs>
        <w:rPr>
          <w:b/>
          <w:lang w:val="en-GB"/>
        </w:rPr>
      </w:pPr>
      <w:r w:rsidRPr="00C34B33">
        <w:rPr>
          <w:b/>
          <w:lang w:val="en-GB"/>
        </w:rPr>
        <w:t xml:space="preserve">Proposal </w:t>
      </w:r>
      <w:r w:rsidR="00355231">
        <w:rPr>
          <w:b/>
          <w:lang w:val="en-GB"/>
        </w:rPr>
        <w:t>2</w:t>
      </w:r>
      <w:r w:rsidRPr="00C34B33">
        <w:rPr>
          <w:b/>
          <w:lang w:val="en-GB"/>
        </w:rPr>
        <w:t>: For NTN, more than 16 HARQ processes can be configured.</w:t>
      </w:r>
    </w:p>
    <w:p w14:paraId="3CA979FE" w14:textId="77777777" w:rsidR="00ED2D2B" w:rsidRDefault="00C34B33" w:rsidP="00D5483F">
      <w:pPr>
        <w:tabs>
          <w:tab w:val="left" w:pos="1752"/>
        </w:tabs>
        <w:rPr>
          <w:lang w:val="en-GB"/>
        </w:rPr>
      </w:pPr>
      <w:r>
        <w:rPr>
          <w:lang w:val="en-GB"/>
        </w:rPr>
        <w:t xml:space="preserve">It is not desirable to further increase the number of HARQ bits in DCI. </w:t>
      </w:r>
      <w:r w:rsidR="006B7D27">
        <w:rPr>
          <w:lang w:val="en-GB"/>
        </w:rPr>
        <w:t xml:space="preserve">This can be supported by SFN dependent HARQ ID, that is the actual HARQ ID is a function of the slot number and the ID filed in DCI. For instance, 32 HARQ processes can be supported with the first 16 slots limited for HARQ processes 0 to 15 and the second 16 slots for HARQ processes 16 to 31. </w:t>
      </w:r>
    </w:p>
    <w:p w14:paraId="2D38EAA9" w14:textId="3B7C4FB8" w:rsidR="00C34B33" w:rsidRPr="00ED2D2B" w:rsidRDefault="00ED2D2B" w:rsidP="00D5483F">
      <w:pPr>
        <w:tabs>
          <w:tab w:val="left" w:pos="1752"/>
        </w:tabs>
        <w:rPr>
          <w:b/>
          <w:lang w:val="en-GB"/>
        </w:rPr>
      </w:pPr>
      <w:r w:rsidRPr="00ED2D2B">
        <w:rPr>
          <w:b/>
          <w:lang w:val="en-GB"/>
        </w:rPr>
        <w:t xml:space="preserve">Proposal </w:t>
      </w:r>
      <w:r w:rsidR="00355231">
        <w:rPr>
          <w:b/>
          <w:lang w:val="en-GB"/>
        </w:rPr>
        <w:t>3</w:t>
      </w:r>
      <w:r w:rsidRPr="00ED2D2B">
        <w:rPr>
          <w:b/>
          <w:lang w:val="en-GB"/>
        </w:rPr>
        <w:t xml:space="preserve">: For NTN, support </w:t>
      </w:r>
      <w:r>
        <w:rPr>
          <w:b/>
          <w:lang w:val="en-GB"/>
        </w:rPr>
        <w:t>slot number based</w:t>
      </w:r>
      <w:r w:rsidRPr="00ED2D2B">
        <w:rPr>
          <w:b/>
          <w:lang w:val="en-GB"/>
        </w:rPr>
        <w:t xml:space="preserve"> HARQ process</w:t>
      </w:r>
      <w:r>
        <w:rPr>
          <w:b/>
          <w:lang w:val="en-GB"/>
        </w:rPr>
        <w:t xml:space="preserve"> identification</w:t>
      </w:r>
      <w:r w:rsidRPr="00ED2D2B">
        <w:rPr>
          <w:b/>
          <w:lang w:val="en-GB"/>
        </w:rPr>
        <w:t>.</w:t>
      </w:r>
      <w:r w:rsidR="006B7D27" w:rsidRPr="00ED2D2B">
        <w:rPr>
          <w:b/>
          <w:lang w:val="en-GB"/>
        </w:rPr>
        <w:t xml:space="preserve"> </w:t>
      </w:r>
    </w:p>
    <w:p w14:paraId="013FE69F" w14:textId="61495208" w:rsidR="00B31ECE" w:rsidRDefault="00FB660E" w:rsidP="00B31ECE">
      <w:pPr>
        <w:pStyle w:val="Heading1"/>
      </w:pPr>
      <w:r>
        <w:lastRenderedPageBreak/>
        <w:t>En</w:t>
      </w:r>
      <w:r w:rsidR="00A226E1">
        <w:t>hanced</w:t>
      </w:r>
      <w:r>
        <w:t xml:space="preserve"> </w:t>
      </w:r>
      <w:r w:rsidR="00167AF4">
        <w:t xml:space="preserve">UL Feedbacks </w:t>
      </w:r>
    </w:p>
    <w:p w14:paraId="2FB362F0" w14:textId="16680C2F" w:rsidR="00ED2D2B" w:rsidRDefault="00ED2D2B" w:rsidP="00ED2D2B">
      <w:pPr>
        <w:rPr>
          <w:lang w:val="en-GB"/>
        </w:rPr>
      </w:pPr>
      <w:r>
        <w:rPr>
          <w:lang w:val="en-GB"/>
        </w:rPr>
        <w:t xml:space="preserve">To support flexible HARQ on and off and limited number of retransmissions, enhancements on CQI are needed. Details of CQI enhancements are discussed in a companion paper [2]. </w:t>
      </w:r>
    </w:p>
    <w:p w14:paraId="43A3BE33" w14:textId="685B9561" w:rsidR="00F3575D" w:rsidRDefault="00DB03F7" w:rsidP="00F3575D">
      <w:pPr>
        <w:rPr>
          <w:lang w:val="en-GB"/>
        </w:rPr>
      </w:pPr>
      <w:r>
        <w:rPr>
          <w:lang w:val="en-GB"/>
        </w:rPr>
        <w:t>It has been already agreed that HARQ feedback can be dynamically turned off. This is particularly tru</w:t>
      </w:r>
      <w:r w:rsidR="00130BDF">
        <w:rPr>
          <w:lang w:val="en-GB"/>
        </w:rPr>
        <w:t>e i</w:t>
      </w:r>
      <w:r w:rsidR="00A226E1">
        <w:rPr>
          <w:lang w:val="en-GB"/>
        </w:rPr>
        <w:t>n GEO satellites</w:t>
      </w:r>
      <w:r w:rsidR="00130BDF">
        <w:rPr>
          <w:lang w:val="en-GB"/>
        </w:rPr>
        <w:t xml:space="preserve"> where the RTD is very large. </w:t>
      </w:r>
      <w:r w:rsidR="00A226E1">
        <w:rPr>
          <w:lang w:val="en-GB"/>
        </w:rPr>
        <w:t xml:space="preserve">HARQ can be disabled due to very large delay. </w:t>
      </w:r>
      <w:r w:rsidR="00152BFA">
        <w:rPr>
          <w:lang w:val="en-GB"/>
        </w:rPr>
        <w:t xml:space="preserve">In such case, </w:t>
      </w:r>
      <w:r w:rsidR="003476CD">
        <w:rPr>
          <w:lang w:val="en-GB"/>
        </w:rPr>
        <w:t xml:space="preserve">it may take very long time </w:t>
      </w:r>
      <w:r w:rsidR="004B3242">
        <w:rPr>
          <w:lang w:val="en-GB"/>
        </w:rPr>
        <w:t>before the network knows any</w:t>
      </w:r>
      <w:r w:rsidR="00A15DDB">
        <w:rPr>
          <w:lang w:val="en-GB"/>
        </w:rPr>
        <w:t xml:space="preserve"> sustained disruptions and errors in</w:t>
      </w:r>
      <w:r w:rsidR="004B3242">
        <w:rPr>
          <w:lang w:val="en-GB"/>
        </w:rPr>
        <w:t xml:space="preserve"> DL transmission</w:t>
      </w:r>
      <w:r w:rsidR="00A15DDB">
        <w:rPr>
          <w:lang w:val="en-GB"/>
        </w:rPr>
        <w:t xml:space="preserve">. </w:t>
      </w:r>
      <w:r w:rsidR="00FA7987">
        <w:rPr>
          <w:lang w:val="en-GB"/>
        </w:rPr>
        <w:t xml:space="preserve">Without HARQ feedback and other </w:t>
      </w:r>
      <w:r w:rsidR="00343019">
        <w:rPr>
          <w:lang w:val="en-GB"/>
        </w:rPr>
        <w:t>lower</w:t>
      </w:r>
      <w:r w:rsidR="00FA7987">
        <w:rPr>
          <w:lang w:val="en-GB"/>
        </w:rPr>
        <w:t xml:space="preserve">-layer feedbacks, network can only relay on RLC feedbacks and </w:t>
      </w:r>
      <w:r w:rsidR="006E1FEC">
        <w:rPr>
          <w:lang w:val="en-GB"/>
        </w:rPr>
        <w:t>other higher-layer feedbacks such as lack of TCP acknowl</w:t>
      </w:r>
      <w:r w:rsidR="00716E8E">
        <w:rPr>
          <w:lang w:val="en-GB"/>
        </w:rPr>
        <w:t>e</w:t>
      </w:r>
      <w:r w:rsidR="006E1FEC">
        <w:rPr>
          <w:lang w:val="en-GB"/>
        </w:rPr>
        <w:t>dgement</w:t>
      </w:r>
      <w:r w:rsidR="00716E8E">
        <w:rPr>
          <w:lang w:val="en-GB"/>
        </w:rPr>
        <w:t xml:space="preserve">s. </w:t>
      </w:r>
      <w:r w:rsidR="00F3575D" w:rsidRPr="00F3575D">
        <w:rPr>
          <w:lang w:val="en-GB"/>
        </w:rPr>
        <w:t xml:space="preserve">This could lead to </w:t>
      </w:r>
      <w:r w:rsidR="00800C07">
        <w:rPr>
          <w:lang w:val="en-GB"/>
        </w:rPr>
        <w:t xml:space="preserve">a </w:t>
      </w:r>
      <w:r w:rsidR="00F3575D" w:rsidRPr="00F3575D">
        <w:rPr>
          <w:lang w:val="en-GB"/>
        </w:rPr>
        <w:t>waste of BW</w:t>
      </w:r>
      <w:r w:rsidR="00800C07">
        <w:rPr>
          <w:lang w:val="en-GB"/>
        </w:rPr>
        <w:t xml:space="preserve">. </w:t>
      </w:r>
      <w:r w:rsidR="0081160C">
        <w:rPr>
          <w:lang w:val="en-GB"/>
        </w:rPr>
        <w:t>In particular</w:t>
      </w:r>
      <w:r w:rsidR="00800C07">
        <w:rPr>
          <w:lang w:val="en-GB"/>
        </w:rPr>
        <w:t xml:space="preserve"> when there is no UL data, </w:t>
      </w:r>
      <w:r w:rsidR="008176E1">
        <w:rPr>
          <w:lang w:val="en-GB"/>
        </w:rPr>
        <w:t>the UE needs to send a</w:t>
      </w:r>
      <w:r w:rsidR="005D6CE3">
        <w:rPr>
          <w:lang w:val="en-GB"/>
        </w:rPr>
        <w:t xml:space="preserve"> SR to request scheduling of UL data to send an RLC message. This </w:t>
      </w:r>
      <w:r w:rsidR="00326571">
        <w:rPr>
          <w:lang w:val="en-GB"/>
        </w:rPr>
        <w:t xml:space="preserve">will require an additional RTD before DL scheduler can </w:t>
      </w:r>
      <w:r w:rsidR="00F11151">
        <w:rPr>
          <w:lang w:val="en-GB"/>
        </w:rPr>
        <w:t>take appropriate actions.</w:t>
      </w:r>
    </w:p>
    <w:p w14:paraId="35A6F5FC" w14:textId="17C8D4BE" w:rsidR="005654ED" w:rsidRPr="00232EBF" w:rsidRDefault="00806C43" w:rsidP="00F3575D">
      <w:pPr>
        <w:rPr>
          <w:b/>
          <w:lang w:val="en-GB"/>
        </w:rPr>
      </w:pPr>
      <w:bookmarkStart w:id="5" w:name="_Hlk21095359"/>
      <w:r w:rsidRPr="00232EBF">
        <w:rPr>
          <w:b/>
          <w:lang w:val="en-GB"/>
        </w:rPr>
        <w:t xml:space="preserve">Observation </w:t>
      </w:r>
      <w:r w:rsidR="002127A7">
        <w:rPr>
          <w:b/>
          <w:lang w:val="en-GB"/>
        </w:rPr>
        <w:t>1</w:t>
      </w:r>
      <w:r w:rsidRPr="00232EBF">
        <w:rPr>
          <w:b/>
          <w:lang w:val="en-GB"/>
        </w:rPr>
        <w:t>: When HARQ feedback is disabled, it may take at least 2 RTD</w:t>
      </w:r>
      <w:r w:rsidR="00EB2B39" w:rsidRPr="00232EBF">
        <w:rPr>
          <w:b/>
          <w:lang w:val="en-GB"/>
        </w:rPr>
        <w:t xml:space="preserve"> before the network know any </w:t>
      </w:r>
      <w:r w:rsidR="005654ED" w:rsidRPr="00232EBF">
        <w:rPr>
          <w:b/>
          <w:lang w:val="en-GB"/>
        </w:rPr>
        <w:t>DL transmission issue.</w:t>
      </w:r>
    </w:p>
    <w:bookmarkEnd w:id="5"/>
    <w:p w14:paraId="6A9FA645" w14:textId="20985C35" w:rsidR="00306323" w:rsidRDefault="00306323" w:rsidP="00F3575D">
      <w:pPr>
        <w:rPr>
          <w:lang w:val="en-GB"/>
        </w:rPr>
      </w:pPr>
      <w:r>
        <w:rPr>
          <w:lang w:val="en-GB"/>
        </w:rPr>
        <w:t xml:space="preserve">The above issue is particularly significant in GEO satellite where the RTD can be over 600 </w:t>
      </w:r>
      <w:proofErr w:type="spellStart"/>
      <w:r>
        <w:rPr>
          <w:lang w:val="en-GB"/>
        </w:rPr>
        <w:t>ms</w:t>
      </w:r>
      <w:proofErr w:type="spellEnd"/>
      <w:r>
        <w:rPr>
          <w:lang w:val="en-GB"/>
        </w:rPr>
        <w:t xml:space="preserve">. </w:t>
      </w:r>
      <w:r w:rsidR="00232EBF">
        <w:rPr>
          <w:lang w:val="en-GB"/>
        </w:rPr>
        <w:t xml:space="preserve">To help DL scheduling, some </w:t>
      </w:r>
      <w:r w:rsidR="00D95635">
        <w:rPr>
          <w:lang w:val="en-GB"/>
        </w:rPr>
        <w:t>feedback</w:t>
      </w:r>
      <w:r w:rsidR="002E5895">
        <w:rPr>
          <w:lang w:val="en-GB"/>
        </w:rPr>
        <w:t xml:space="preserve"> </w:t>
      </w:r>
      <w:r w:rsidR="00343019">
        <w:rPr>
          <w:lang w:val="en-GB"/>
        </w:rPr>
        <w:t>in the form of a</w:t>
      </w:r>
      <w:r w:rsidR="002E5895">
        <w:rPr>
          <w:lang w:val="en-GB"/>
        </w:rPr>
        <w:t xml:space="preserve"> UCI</w:t>
      </w:r>
      <w:r w:rsidR="00D95635">
        <w:rPr>
          <w:lang w:val="en-GB"/>
        </w:rPr>
        <w:t xml:space="preserve"> should be </w:t>
      </w:r>
      <w:r w:rsidR="002E5895">
        <w:rPr>
          <w:lang w:val="en-GB"/>
        </w:rPr>
        <w:t xml:space="preserve">supported. </w:t>
      </w:r>
      <w:r w:rsidR="00631775">
        <w:rPr>
          <w:lang w:val="en-GB"/>
        </w:rPr>
        <w:t>This new</w:t>
      </w:r>
      <w:r w:rsidR="00C33C0B">
        <w:rPr>
          <w:lang w:val="en-GB"/>
        </w:rPr>
        <w:t xml:space="preserve"> UCI can </w:t>
      </w:r>
      <w:r w:rsidR="008802C7">
        <w:rPr>
          <w:lang w:val="en-GB"/>
        </w:rPr>
        <w:t>includ</w:t>
      </w:r>
      <w:r w:rsidR="00631775">
        <w:rPr>
          <w:lang w:val="en-GB"/>
        </w:rPr>
        <w:t>e information</w:t>
      </w:r>
      <w:r w:rsidR="005779F1">
        <w:rPr>
          <w:lang w:val="en-GB"/>
        </w:rPr>
        <w:t xml:space="preserve"> such as</w:t>
      </w:r>
    </w:p>
    <w:p w14:paraId="138C752E" w14:textId="5AFD9851" w:rsidR="00C33C0B" w:rsidRPr="00BD23BE" w:rsidRDefault="00C33C0B" w:rsidP="00BD23BE">
      <w:pPr>
        <w:pStyle w:val="ListParagraph"/>
        <w:numPr>
          <w:ilvl w:val="0"/>
          <w:numId w:val="20"/>
        </w:numPr>
        <w:rPr>
          <w:lang w:val="en-GB"/>
        </w:rPr>
      </w:pPr>
      <w:r w:rsidRPr="00BD23BE">
        <w:rPr>
          <w:lang w:val="en-GB"/>
        </w:rPr>
        <w:t xml:space="preserve">DL decoding </w:t>
      </w:r>
      <w:r w:rsidR="008F6BEF" w:rsidRPr="00BD23BE">
        <w:rPr>
          <w:lang w:val="en-GB"/>
        </w:rPr>
        <w:t>statistics</w:t>
      </w:r>
    </w:p>
    <w:p w14:paraId="4DC94C58" w14:textId="74CD5F41" w:rsidR="008F6BEF" w:rsidRPr="00BD23BE" w:rsidRDefault="006B77C2" w:rsidP="00BD23BE">
      <w:pPr>
        <w:pStyle w:val="ListParagraph"/>
        <w:numPr>
          <w:ilvl w:val="0"/>
          <w:numId w:val="20"/>
        </w:numPr>
        <w:rPr>
          <w:lang w:val="en-GB"/>
        </w:rPr>
      </w:pPr>
      <w:r w:rsidRPr="00BD23BE">
        <w:rPr>
          <w:lang w:val="en-GB"/>
        </w:rPr>
        <w:t>CQI or request for reducing MCS</w:t>
      </w:r>
    </w:p>
    <w:p w14:paraId="05CC2B8B" w14:textId="38432DB8" w:rsidR="006B77C2" w:rsidRPr="00BD23BE" w:rsidRDefault="00BD23BE" w:rsidP="00BD23BE">
      <w:pPr>
        <w:pStyle w:val="ListParagraph"/>
        <w:numPr>
          <w:ilvl w:val="0"/>
          <w:numId w:val="20"/>
        </w:numPr>
        <w:rPr>
          <w:lang w:val="en-GB"/>
        </w:rPr>
      </w:pPr>
      <w:r w:rsidRPr="00BD23BE">
        <w:rPr>
          <w:lang w:val="en-GB"/>
        </w:rPr>
        <w:t>Both of the above</w:t>
      </w:r>
    </w:p>
    <w:p w14:paraId="2BA4C615" w14:textId="256C32B6" w:rsidR="005654ED" w:rsidRDefault="005654ED" w:rsidP="00F3575D">
      <w:pPr>
        <w:rPr>
          <w:lang w:val="en-GB"/>
        </w:rPr>
      </w:pPr>
    </w:p>
    <w:p w14:paraId="3CF848DD" w14:textId="0EEE17CF" w:rsidR="002127A7" w:rsidRDefault="00214AA2" w:rsidP="002127A7">
      <w:pPr>
        <w:rPr>
          <w:b/>
          <w:lang w:val="en-GB"/>
        </w:rPr>
      </w:pPr>
      <w:r w:rsidRPr="002127A7">
        <w:rPr>
          <w:b/>
          <w:lang w:val="en-GB"/>
        </w:rPr>
        <w:t xml:space="preserve">Proposal </w:t>
      </w:r>
      <w:r w:rsidR="002127A7">
        <w:rPr>
          <w:b/>
          <w:lang w:val="en-GB"/>
        </w:rPr>
        <w:t>4</w:t>
      </w:r>
      <w:r w:rsidRPr="002127A7">
        <w:rPr>
          <w:b/>
          <w:lang w:val="en-GB"/>
        </w:rPr>
        <w:t xml:space="preserve">: </w:t>
      </w:r>
      <w:r w:rsidR="00300D2E" w:rsidRPr="002127A7">
        <w:rPr>
          <w:b/>
          <w:lang w:val="en-GB"/>
        </w:rPr>
        <w:t>Support</w:t>
      </w:r>
      <w:r w:rsidRPr="002127A7">
        <w:rPr>
          <w:b/>
          <w:lang w:val="en-GB"/>
        </w:rPr>
        <w:t xml:space="preserve"> </w:t>
      </w:r>
      <w:r w:rsidR="004B4A12" w:rsidRPr="002127A7">
        <w:rPr>
          <w:b/>
          <w:lang w:val="en-GB"/>
        </w:rPr>
        <w:t xml:space="preserve">a </w:t>
      </w:r>
      <w:r w:rsidRPr="002127A7">
        <w:rPr>
          <w:b/>
          <w:lang w:val="en-GB"/>
        </w:rPr>
        <w:t xml:space="preserve">new UCI feedback </w:t>
      </w:r>
      <w:r w:rsidR="004B4A12" w:rsidRPr="002127A7">
        <w:rPr>
          <w:b/>
          <w:lang w:val="en-GB"/>
        </w:rPr>
        <w:t xml:space="preserve">for </w:t>
      </w:r>
      <w:r w:rsidR="00957AD2" w:rsidRPr="002127A7">
        <w:rPr>
          <w:b/>
          <w:lang w:val="en-GB"/>
        </w:rPr>
        <w:t xml:space="preserve">reporting </w:t>
      </w:r>
      <w:r w:rsidR="004B4A12" w:rsidRPr="002127A7">
        <w:rPr>
          <w:b/>
          <w:lang w:val="en-GB"/>
        </w:rPr>
        <w:t>DL transmission di</w:t>
      </w:r>
      <w:r w:rsidR="006C7D49" w:rsidRPr="002127A7">
        <w:rPr>
          <w:b/>
          <w:lang w:val="en-GB"/>
        </w:rPr>
        <w:t xml:space="preserve">sruption </w:t>
      </w:r>
      <w:r w:rsidR="000D1A73" w:rsidRPr="002127A7">
        <w:rPr>
          <w:b/>
          <w:lang w:val="en-GB"/>
        </w:rPr>
        <w:t xml:space="preserve">and or requesting DL scheduling changes </w:t>
      </w:r>
      <w:r w:rsidR="006C7D49" w:rsidRPr="002127A7">
        <w:rPr>
          <w:b/>
          <w:lang w:val="en-GB"/>
        </w:rPr>
        <w:t xml:space="preserve">when HARQ feedback is disabled. </w:t>
      </w:r>
      <w:r w:rsidRPr="002127A7">
        <w:rPr>
          <w:b/>
          <w:lang w:val="en-GB"/>
        </w:rPr>
        <w:t xml:space="preserve"> </w:t>
      </w:r>
    </w:p>
    <w:p w14:paraId="64FA1872" w14:textId="6B587E75" w:rsidR="00300D2E" w:rsidRPr="002127A7" w:rsidRDefault="00300D2E" w:rsidP="002127A7">
      <w:pPr>
        <w:pStyle w:val="ListParagraph"/>
        <w:numPr>
          <w:ilvl w:val="0"/>
          <w:numId w:val="22"/>
        </w:numPr>
        <w:rPr>
          <w:b/>
          <w:lang w:val="en-GB"/>
        </w:rPr>
      </w:pPr>
      <w:r w:rsidRPr="002127A7">
        <w:rPr>
          <w:b/>
          <w:lang w:val="en-GB"/>
        </w:rPr>
        <w:t xml:space="preserve">To study the </w:t>
      </w:r>
      <w:r w:rsidR="00BB31A0" w:rsidRPr="002127A7">
        <w:rPr>
          <w:b/>
          <w:lang w:val="en-GB"/>
        </w:rPr>
        <w:t>new UCI format and</w:t>
      </w:r>
      <w:r w:rsidR="002127A7" w:rsidRPr="002127A7">
        <w:rPr>
          <w:b/>
          <w:lang w:val="en-GB"/>
        </w:rPr>
        <w:t xml:space="preserve"> associated</w:t>
      </w:r>
      <w:r w:rsidR="00BB31A0" w:rsidRPr="002127A7">
        <w:rPr>
          <w:b/>
          <w:lang w:val="en-GB"/>
        </w:rPr>
        <w:t xml:space="preserve"> resource allocation.</w:t>
      </w:r>
    </w:p>
    <w:p w14:paraId="37EE4640" w14:textId="783DC6F4" w:rsidR="00935B26" w:rsidRDefault="00935B26" w:rsidP="00ED2D2B">
      <w:pPr>
        <w:rPr>
          <w:lang w:val="en-GB"/>
        </w:rPr>
      </w:pPr>
    </w:p>
    <w:p w14:paraId="750680DD" w14:textId="63CF3F80" w:rsidR="00935B26" w:rsidRDefault="00935B26" w:rsidP="00935B26">
      <w:pPr>
        <w:pStyle w:val="Heading1"/>
      </w:pPr>
      <w:r>
        <w:t>Conclusions</w:t>
      </w:r>
    </w:p>
    <w:p w14:paraId="20C3FD2D" w14:textId="33174CF1" w:rsidR="00935B26" w:rsidRDefault="00935B26" w:rsidP="00935B26">
      <w:pPr>
        <w:rPr>
          <w:lang w:val="en-GB"/>
        </w:rPr>
      </w:pPr>
      <w:r>
        <w:rPr>
          <w:lang w:val="en-GB"/>
        </w:rPr>
        <w:t>In this contribution, we have discussed</w:t>
      </w:r>
      <w:r w:rsidR="00844029">
        <w:rPr>
          <w:lang w:val="en-GB"/>
        </w:rPr>
        <w:t xml:space="preserve"> </w:t>
      </w:r>
      <w:r>
        <w:rPr>
          <w:lang w:val="en-GB"/>
        </w:rPr>
        <w:t xml:space="preserve">enhancements on HARQ </w:t>
      </w:r>
      <w:r w:rsidR="00844029">
        <w:rPr>
          <w:lang w:val="en-GB"/>
        </w:rPr>
        <w:t xml:space="preserve">for large delays in NTN and have the following </w:t>
      </w:r>
      <w:r w:rsidR="002127A7">
        <w:rPr>
          <w:lang w:val="en-GB"/>
        </w:rPr>
        <w:t xml:space="preserve">observations and </w:t>
      </w:r>
      <w:r w:rsidR="00844029">
        <w:rPr>
          <w:lang w:val="en-GB"/>
        </w:rPr>
        <w:t>proposals:</w:t>
      </w:r>
    </w:p>
    <w:p w14:paraId="1FEF78A5" w14:textId="7F441FC2" w:rsidR="002127A7" w:rsidRPr="002127A7" w:rsidRDefault="002127A7" w:rsidP="00935B26">
      <w:pPr>
        <w:rPr>
          <w:b/>
          <w:i/>
          <w:lang w:val="en-GB"/>
        </w:rPr>
      </w:pPr>
      <w:r w:rsidRPr="002127A7">
        <w:rPr>
          <w:b/>
          <w:i/>
          <w:lang w:val="en-GB"/>
        </w:rPr>
        <w:t>Observation 1: When HARQ feedback is disabled, it may take at least 2 RTD before the network know any DL transmission issue.</w:t>
      </w:r>
    </w:p>
    <w:p w14:paraId="108EBDED" w14:textId="3A1691AF" w:rsidR="00844029" w:rsidRPr="00844029" w:rsidRDefault="00844029" w:rsidP="00844029">
      <w:pPr>
        <w:tabs>
          <w:tab w:val="left" w:pos="1752"/>
        </w:tabs>
        <w:rPr>
          <w:b/>
          <w:i/>
          <w:lang w:val="en-GB"/>
        </w:rPr>
      </w:pPr>
      <w:r w:rsidRPr="00844029">
        <w:rPr>
          <w:b/>
          <w:i/>
          <w:lang w:val="en-GB"/>
        </w:rPr>
        <w:t xml:space="preserve">Proposal </w:t>
      </w:r>
      <w:r w:rsidR="002127A7">
        <w:rPr>
          <w:b/>
          <w:i/>
          <w:lang w:val="en-GB"/>
        </w:rPr>
        <w:t>1</w:t>
      </w:r>
      <w:r w:rsidRPr="00844029">
        <w:rPr>
          <w:b/>
          <w:i/>
          <w:lang w:val="en-GB"/>
        </w:rPr>
        <w:t>: For NTN, UE reports the capability on the number of HARQ processes.</w:t>
      </w:r>
    </w:p>
    <w:p w14:paraId="0A9CBFDC" w14:textId="35AF592B" w:rsidR="00844029" w:rsidRPr="00844029" w:rsidRDefault="00844029" w:rsidP="00844029">
      <w:pPr>
        <w:tabs>
          <w:tab w:val="left" w:pos="1752"/>
        </w:tabs>
        <w:rPr>
          <w:b/>
          <w:i/>
          <w:lang w:val="en-GB"/>
        </w:rPr>
      </w:pPr>
      <w:r w:rsidRPr="00844029">
        <w:rPr>
          <w:b/>
          <w:i/>
          <w:lang w:val="en-GB"/>
        </w:rPr>
        <w:t xml:space="preserve">Proposal </w:t>
      </w:r>
      <w:r w:rsidR="002127A7">
        <w:rPr>
          <w:b/>
          <w:i/>
          <w:lang w:val="en-GB"/>
        </w:rPr>
        <w:t>2</w:t>
      </w:r>
      <w:r w:rsidRPr="00844029">
        <w:rPr>
          <w:b/>
          <w:i/>
          <w:lang w:val="en-GB"/>
        </w:rPr>
        <w:t>: For NTN, more than 16 HARQ processes can be configured.</w:t>
      </w:r>
    </w:p>
    <w:p w14:paraId="51668E03" w14:textId="59E6466C" w:rsidR="00844029" w:rsidRDefault="00844029" w:rsidP="00844029">
      <w:pPr>
        <w:tabs>
          <w:tab w:val="left" w:pos="1752"/>
        </w:tabs>
        <w:rPr>
          <w:b/>
          <w:i/>
          <w:lang w:val="en-GB"/>
        </w:rPr>
      </w:pPr>
      <w:r w:rsidRPr="00844029">
        <w:rPr>
          <w:b/>
          <w:i/>
          <w:lang w:val="en-GB"/>
        </w:rPr>
        <w:t xml:space="preserve">Proposal </w:t>
      </w:r>
      <w:r w:rsidR="002127A7">
        <w:rPr>
          <w:b/>
          <w:i/>
          <w:lang w:val="en-GB"/>
        </w:rPr>
        <w:t>3</w:t>
      </w:r>
      <w:r w:rsidRPr="00844029">
        <w:rPr>
          <w:b/>
          <w:i/>
          <w:lang w:val="en-GB"/>
        </w:rPr>
        <w:t xml:space="preserve">: For NTN, support slot number based HARQ process identification. </w:t>
      </w:r>
    </w:p>
    <w:p w14:paraId="162D7CEA" w14:textId="7984F1D2" w:rsidR="002127A7" w:rsidRPr="002127A7" w:rsidRDefault="002127A7" w:rsidP="002127A7">
      <w:pPr>
        <w:rPr>
          <w:b/>
          <w:i/>
          <w:lang w:val="en-GB"/>
        </w:rPr>
      </w:pPr>
      <w:r w:rsidRPr="002127A7">
        <w:rPr>
          <w:b/>
          <w:i/>
          <w:lang w:val="en-GB"/>
        </w:rPr>
        <w:t xml:space="preserve">Proposal 4: Support a new UCI feedback for reporting DL transmission disruption and or requesting DL scheduling changes when HARQ feedback is disabled.  </w:t>
      </w:r>
    </w:p>
    <w:p w14:paraId="6A1DC88A" w14:textId="77777777" w:rsidR="002127A7" w:rsidRPr="002127A7" w:rsidRDefault="002127A7" w:rsidP="002127A7">
      <w:pPr>
        <w:pStyle w:val="ListParagraph"/>
        <w:numPr>
          <w:ilvl w:val="0"/>
          <w:numId w:val="22"/>
        </w:numPr>
        <w:rPr>
          <w:b/>
          <w:i/>
          <w:lang w:val="en-GB"/>
        </w:rPr>
      </w:pPr>
      <w:r w:rsidRPr="002127A7">
        <w:rPr>
          <w:b/>
          <w:i/>
          <w:lang w:val="en-GB"/>
        </w:rPr>
        <w:t>To study the new UCI format and associated resource allocation.</w:t>
      </w:r>
    </w:p>
    <w:p w14:paraId="72287C17" w14:textId="77777777" w:rsidR="002127A7" w:rsidRPr="00844029" w:rsidRDefault="002127A7" w:rsidP="00844029">
      <w:pPr>
        <w:tabs>
          <w:tab w:val="left" w:pos="1752"/>
        </w:tabs>
        <w:rPr>
          <w:b/>
          <w:i/>
          <w:lang w:val="en-GB"/>
        </w:rPr>
      </w:pPr>
    </w:p>
    <w:p w14:paraId="763BC511" w14:textId="77777777" w:rsidR="00844029" w:rsidRPr="00935B26" w:rsidRDefault="00844029" w:rsidP="00935B26">
      <w:pPr>
        <w:rPr>
          <w:lang w:val="en-GB"/>
        </w:rPr>
      </w:pPr>
    </w:p>
    <w:bookmarkEnd w:id="3"/>
    <w:bookmarkEnd w:id="4"/>
    <w:p w14:paraId="64099BEB" w14:textId="69A78F6C" w:rsidR="002F77EB" w:rsidRPr="00935B26" w:rsidRDefault="00E523F3" w:rsidP="00935B26">
      <w:pPr>
        <w:pStyle w:val="Heading1"/>
      </w:pPr>
      <w:r w:rsidRPr="00935B26">
        <w:t>References</w:t>
      </w:r>
      <w:bookmarkStart w:id="6" w:name="_Ref457730460"/>
      <w:bookmarkStart w:id="7" w:name="_Ref450735844"/>
      <w:bookmarkStart w:id="8" w:name="_Ref450342757"/>
      <w:r w:rsidR="002F77EB" w:rsidRPr="00935B26">
        <w:rPr>
          <w:rFonts w:hint="eastAsia"/>
        </w:rPr>
        <w:tab/>
      </w:r>
    </w:p>
    <w:p w14:paraId="7EDAB6B7" w14:textId="4088FC20" w:rsidR="003B5638" w:rsidRDefault="002127A7" w:rsidP="006A0D18">
      <w:pPr>
        <w:pStyle w:val="ListParagraph"/>
        <w:numPr>
          <w:ilvl w:val="0"/>
          <w:numId w:val="2"/>
        </w:numPr>
        <w:jc w:val="both"/>
        <w:rPr>
          <w:rFonts w:ascii="Times New Roman" w:eastAsia="SimSun" w:hAnsi="Times New Roman"/>
          <w:sz w:val="20"/>
          <w:szCs w:val="20"/>
        </w:rPr>
      </w:pPr>
      <w:bookmarkStart w:id="9" w:name="_Ref461383190"/>
      <w:r>
        <w:rPr>
          <w:rFonts w:ascii="Times New Roman" w:hAnsi="Times New Roman"/>
          <w:sz w:val="20"/>
          <w:szCs w:val="20"/>
        </w:rPr>
        <w:t>Chairman’s notes, 3GPP RAN1 #98, A</w:t>
      </w:r>
      <w:r w:rsidR="00353AF6">
        <w:rPr>
          <w:rFonts w:ascii="Times New Roman" w:hAnsi="Times New Roman"/>
          <w:sz w:val="20"/>
          <w:szCs w:val="20"/>
        </w:rPr>
        <w:t>ugust</w:t>
      </w:r>
      <w:r>
        <w:rPr>
          <w:rFonts w:ascii="Times New Roman" w:hAnsi="Times New Roman"/>
          <w:sz w:val="20"/>
          <w:szCs w:val="20"/>
        </w:rPr>
        <w:t xml:space="preserve"> 2019.</w:t>
      </w:r>
    </w:p>
    <w:p w14:paraId="45D5CA0F" w14:textId="482902C2" w:rsidR="00CE53DF" w:rsidRPr="00150F79" w:rsidRDefault="00150F79" w:rsidP="00150F79">
      <w:pPr>
        <w:pStyle w:val="ListParagraph"/>
        <w:numPr>
          <w:ilvl w:val="0"/>
          <w:numId w:val="2"/>
        </w:numPr>
        <w:jc w:val="both"/>
        <w:rPr>
          <w:rFonts w:ascii="Times New Roman" w:eastAsia="SimSun" w:hAnsi="Times New Roman"/>
          <w:sz w:val="20"/>
          <w:szCs w:val="20"/>
        </w:rPr>
      </w:pPr>
      <w:r w:rsidRPr="00150F79">
        <w:rPr>
          <w:rFonts w:ascii="Times New Roman" w:hAnsi="Times New Roman"/>
          <w:bCs/>
          <w:sz w:val="20"/>
          <w:szCs w:val="20"/>
        </w:rPr>
        <w:t>R1-1</w:t>
      </w:r>
      <w:r w:rsidR="00ED2D2B">
        <w:rPr>
          <w:rFonts w:ascii="Times New Roman" w:hAnsi="Times New Roman"/>
          <w:bCs/>
          <w:sz w:val="20"/>
          <w:szCs w:val="20"/>
        </w:rPr>
        <w:t>9</w:t>
      </w:r>
      <w:r w:rsidR="00353AF6">
        <w:rPr>
          <w:rFonts w:ascii="Times New Roman" w:hAnsi="Times New Roman"/>
          <w:bCs/>
          <w:sz w:val="20"/>
          <w:szCs w:val="20"/>
        </w:rPr>
        <w:t>11114</w:t>
      </w:r>
      <w:r>
        <w:rPr>
          <w:rFonts w:ascii="Times New Roman" w:eastAsia="MS Mincho" w:hAnsi="Times New Roman"/>
          <w:bCs/>
          <w:sz w:val="20"/>
          <w:szCs w:val="20"/>
          <w:lang w:eastAsia="ja-JP"/>
        </w:rPr>
        <w:t xml:space="preserve">, </w:t>
      </w:r>
      <w:r w:rsidR="00ED2D2B">
        <w:rPr>
          <w:rFonts w:ascii="Times New Roman" w:eastAsia="MS Mincho" w:hAnsi="Times New Roman"/>
          <w:bCs/>
          <w:sz w:val="20"/>
          <w:szCs w:val="20"/>
          <w:lang w:eastAsia="ja-JP"/>
        </w:rPr>
        <w:t>Physical layer procedures for NTN</w:t>
      </w:r>
      <w:r>
        <w:rPr>
          <w:rFonts w:ascii="Times New Roman" w:eastAsia="MS Mincho" w:hAnsi="Times New Roman"/>
          <w:bCs/>
          <w:sz w:val="20"/>
          <w:szCs w:val="20"/>
          <w:lang w:eastAsia="ja-JP"/>
        </w:rPr>
        <w:t>, Qualcomm Technologies Inc., 3GPP RAN1 #9</w:t>
      </w:r>
      <w:r w:rsidR="00353AF6">
        <w:rPr>
          <w:rFonts w:ascii="Times New Roman" w:eastAsia="MS Mincho" w:hAnsi="Times New Roman"/>
          <w:bCs/>
          <w:sz w:val="20"/>
          <w:szCs w:val="20"/>
          <w:lang w:eastAsia="ja-JP"/>
        </w:rPr>
        <w:t>8</w:t>
      </w:r>
      <w:r>
        <w:rPr>
          <w:rFonts w:ascii="Times New Roman" w:eastAsia="MS Mincho" w:hAnsi="Times New Roman"/>
          <w:bCs/>
          <w:sz w:val="20"/>
          <w:szCs w:val="20"/>
          <w:lang w:eastAsia="ja-JP"/>
        </w:rPr>
        <w:t xml:space="preserve">bis, </w:t>
      </w:r>
      <w:r w:rsidR="00353AF6">
        <w:rPr>
          <w:rFonts w:ascii="Times New Roman" w:eastAsia="MS Mincho" w:hAnsi="Times New Roman"/>
          <w:bCs/>
          <w:sz w:val="20"/>
          <w:szCs w:val="20"/>
          <w:lang w:eastAsia="ja-JP"/>
        </w:rPr>
        <w:t>Oct.</w:t>
      </w:r>
      <w:r>
        <w:rPr>
          <w:rFonts w:ascii="Times New Roman" w:eastAsia="MS Mincho" w:hAnsi="Times New Roman"/>
          <w:bCs/>
          <w:sz w:val="20"/>
          <w:szCs w:val="20"/>
          <w:lang w:eastAsia="ja-JP"/>
        </w:rPr>
        <w:t xml:space="preserve"> 201</w:t>
      </w:r>
      <w:r w:rsidR="00ED2D2B">
        <w:rPr>
          <w:rFonts w:ascii="Times New Roman" w:eastAsia="MS Mincho" w:hAnsi="Times New Roman"/>
          <w:bCs/>
          <w:sz w:val="20"/>
          <w:szCs w:val="20"/>
          <w:lang w:eastAsia="ja-JP"/>
        </w:rPr>
        <w:t>9</w:t>
      </w:r>
      <w:r>
        <w:rPr>
          <w:rFonts w:ascii="Times New Roman" w:eastAsia="MS Mincho" w:hAnsi="Times New Roman"/>
          <w:bCs/>
          <w:sz w:val="20"/>
          <w:szCs w:val="20"/>
          <w:lang w:eastAsia="ja-JP"/>
        </w:rPr>
        <w:t>.</w:t>
      </w:r>
      <w:bookmarkEnd w:id="6"/>
      <w:bookmarkEnd w:id="7"/>
      <w:bookmarkEnd w:id="8"/>
      <w:bookmarkEnd w:id="9"/>
    </w:p>
    <w:sectPr w:rsidR="00CE53DF" w:rsidRPr="00150F79"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D6A19" w14:textId="77777777" w:rsidR="00105AC4" w:rsidRDefault="00105AC4">
      <w:r>
        <w:separator/>
      </w:r>
    </w:p>
  </w:endnote>
  <w:endnote w:type="continuationSeparator" w:id="0">
    <w:p w14:paraId="7C9E9619" w14:textId="77777777" w:rsidR="00105AC4" w:rsidRDefault="00105AC4">
      <w:r>
        <w:continuationSeparator/>
      </w:r>
    </w:p>
  </w:endnote>
  <w:endnote w:type="continuationNotice" w:id="1">
    <w:p w14:paraId="422AFDE4" w14:textId="77777777" w:rsidR="00105AC4" w:rsidRDefault="00105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6A53A" w14:textId="77777777" w:rsidR="00105AC4" w:rsidRDefault="00105AC4">
      <w:r>
        <w:separator/>
      </w:r>
    </w:p>
  </w:footnote>
  <w:footnote w:type="continuationSeparator" w:id="0">
    <w:p w14:paraId="408905E3" w14:textId="77777777" w:rsidR="00105AC4" w:rsidRDefault="00105AC4">
      <w:r>
        <w:continuationSeparator/>
      </w:r>
    </w:p>
  </w:footnote>
  <w:footnote w:type="continuationNotice" w:id="1">
    <w:p w14:paraId="7F72F3D7" w14:textId="77777777" w:rsidR="00105AC4" w:rsidRDefault="00105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F2F7F"/>
    <w:multiLevelType w:val="hybridMultilevel"/>
    <w:tmpl w:val="9970EC4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6A09DB"/>
    <w:multiLevelType w:val="hybridMultilevel"/>
    <w:tmpl w:val="6942A17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71B67"/>
    <w:multiLevelType w:val="hybridMultilevel"/>
    <w:tmpl w:val="C658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A069C"/>
    <w:multiLevelType w:val="hybridMultilevel"/>
    <w:tmpl w:val="9274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9D529C2"/>
    <w:multiLevelType w:val="hybridMultilevel"/>
    <w:tmpl w:val="CE648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1"/>
  </w:num>
  <w:num w:numId="4">
    <w:abstractNumId w:val="7"/>
  </w:num>
  <w:num w:numId="5">
    <w:abstractNumId w:val="6"/>
  </w:num>
  <w:num w:numId="6">
    <w:abstractNumId w:val="13"/>
  </w:num>
  <w:num w:numId="7">
    <w:abstractNumId w:val="21"/>
  </w:num>
  <w:num w:numId="8">
    <w:abstractNumId w:val="14"/>
  </w:num>
  <w:num w:numId="9">
    <w:abstractNumId w:val="10"/>
  </w:num>
  <w:num w:numId="10">
    <w:abstractNumId w:val="19"/>
  </w:num>
  <w:num w:numId="11">
    <w:abstractNumId w:val="9"/>
  </w:num>
  <w:num w:numId="12">
    <w:abstractNumId w:val="17"/>
  </w:num>
  <w:num w:numId="13">
    <w:abstractNumId w:val="12"/>
  </w:num>
  <w:num w:numId="14">
    <w:abstractNumId w:val="5"/>
  </w:num>
  <w:num w:numId="15">
    <w:abstractNumId w:val="8"/>
  </w:num>
  <w:num w:numId="16">
    <w:abstractNumId w:val="2"/>
  </w:num>
  <w:num w:numId="17">
    <w:abstractNumId w:val="16"/>
  </w:num>
  <w:num w:numId="18">
    <w:abstractNumId w:val="18"/>
  </w:num>
  <w:num w:numId="19">
    <w:abstractNumId w:val="20"/>
  </w:num>
  <w:num w:numId="20">
    <w:abstractNumId w:val="15"/>
  </w:num>
  <w:num w:numId="21">
    <w:abstractNumId w:val="11"/>
  </w:num>
  <w:num w:numId="2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0"/>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11"/>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75F"/>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72"/>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298"/>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6CC0"/>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A73"/>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173"/>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AC4"/>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0BDF"/>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0F79"/>
    <w:rsid w:val="001510ED"/>
    <w:rsid w:val="001517AB"/>
    <w:rsid w:val="00151805"/>
    <w:rsid w:val="00151897"/>
    <w:rsid w:val="00151EA7"/>
    <w:rsid w:val="00152066"/>
    <w:rsid w:val="00152270"/>
    <w:rsid w:val="00152559"/>
    <w:rsid w:val="00152A3B"/>
    <w:rsid w:val="00152BFA"/>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AF4"/>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1E8"/>
    <w:rsid w:val="001C7F47"/>
    <w:rsid w:val="001D006C"/>
    <w:rsid w:val="001D056C"/>
    <w:rsid w:val="001D0578"/>
    <w:rsid w:val="001D0593"/>
    <w:rsid w:val="001D0A76"/>
    <w:rsid w:val="001D1258"/>
    <w:rsid w:val="001D13B7"/>
    <w:rsid w:val="001D19F8"/>
    <w:rsid w:val="001D1CFF"/>
    <w:rsid w:val="001D29CA"/>
    <w:rsid w:val="001D2B3C"/>
    <w:rsid w:val="001D2E6C"/>
    <w:rsid w:val="001D30AD"/>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7A7"/>
    <w:rsid w:val="00212816"/>
    <w:rsid w:val="002130BD"/>
    <w:rsid w:val="00213851"/>
    <w:rsid w:val="00214AA2"/>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2EBF"/>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42B"/>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889"/>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12A"/>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5CA6"/>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95"/>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D2E"/>
    <w:rsid w:val="00300E5F"/>
    <w:rsid w:val="003011C0"/>
    <w:rsid w:val="00301686"/>
    <w:rsid w:val="00301DA6"/>
    <w:rsid w:val="00301EE4"/>
    <w:rsid w:val="003024DE"/>
    <w:rsid w:val="00302701"/>
    <w:rsid w:val="00302739"/>
    <w:rsid w:val="00302B48"/>
    <w:rsid w:val="00302EDE"/>
    <w:rsid w:val="00302FEF"/>
    <w:rsid w:val="0030318E"/>
    <w:rsid w:val="0030387E"/>
    <w:rsid w:val="00303B76"/>
    <w:rsid w:val="00304556"/>
    <w:rsid w:val="00304915"/>
    <w:rsid w:val="00304AC5"/>
    <w:rsid w:val="00304C9E"/>
    <w:rsid w:val="003060B8"/>
    <w:rsid w:val="00306323"/>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71"/>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19"/>
    <w:rsid w:val="0034305B"/>
    <w:rsid w:val="00343C24"/>
    <w:rsid w:val="00343FA6"/>
    <w:rsid w:val="00344725"/>
    <w:rsid w:val="00344901"/>
    <w:rsid w:val="003450BC"/>
    <w:rsid w:val="0034511B"/>
    <w:rsid w:val="00346220"/>
    <w:rsid w:val="0034714B"/>
    <w:rsid w:val="0034745C"/>
    <w:rsid w:val="003474CD"/>
    <w:rsid w:val="003476CD"/>
    <w:rsid w:val="003479B6"/>
    <w:rsid w:val="003500DB"/>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3AF6"/>
    <w:rsid w:val="0035414B"/>
    <w:rsid w:val="003541E6"/>
    <w:rsid w:val="00354FE6"/>
    <w:rsid w:val="00355231"/>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4DA6"/>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00C"/>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523D"/>
    <w:rsid w:val="004961DB"/>
    <w:rsid w:val="0049653E"/>
    <w:rsid w:val="00496BEF"/>
    <w:rsid w:val="00496DC2"/>
    <w:rsid w:val="00496E38"/>
    <w:rsid w:val="00496FF0"/>
    <w:rsid w:val="00497567"/>
    <w:rsid w:val="0049781C"/>
    <w:rsid w:val="00497C03"/>
    <w:rsid w:val="004A01E1"/>
    <w:rsid w:val="004A035A"/>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4DB"/>
    <w:rsid w:val="004B269E"/>
    <w:rsid w:val="004B2700"/>
    <w:rsid w:val="004B2AFC"/>
    <w:rsid w:val="004B2B31"/>
    <w:rsid w:val="004B2C33"/>
    <w:rsid w:val="004B2CDB"/>
    <w:rsid w:val="004B2D10"/>
    <w:rsid w:val="004B2DE8"/>
    <w:rsid w:val="004B2F6E"/>
    <w:rsid w:val="004B3242"/>
    <w:rsid w:val="004B3C3F"/>
    <w:rsid w:val="004B45A2"/>
    <w:rsid w:val="004B46C3"/>
    <w:rsid w:val="004B4789"/>
    <w:rsid w:val="004B4A0F"/>
    <w:rsid w:val="004B4A12"/>
    <w:rsid w:val="004B4F6B"/>
    <w:rsid w:val="004B50E0"/>
    <w:rsid w:val="004B5101"/>
    <w:rsid w:val="004B5400"/>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4AF1"/>
    <w:rsid w:val="005452C0"/>
    <w:rsid w:val="005453BA"/>
    <w:rsid w:val="0054556F"/>
    <w:rsid w:val="005456AD"/>
    <w:rsid w:val="00545B46"/>
    <w:rsid w:val="00545C3D"/>
    <w:rsid w:val="00545E6A"/>
    <w:rsid w:val="00546144"/>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54ED"/>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9F1"/>
    <w:rsid w:val="00577EB4"/>
    <w:rsid w:val="005805D7"/>
    <w:rsid w:val="00580DF5"/>
    <w:rsid w:val="00581081"/>
    <w:rsid w:val="005815D2"/>
    <w:rsid w:val="005818D4"/>
    <w:rsid w:val="005819D7"/>
    <w:rsid w:val="00581AB8"/>
    <w:rsid w:val="00581C6E"/>
    <w:rsid w:val="00581F40"/>
    <w:rsid w:val="005829CC"/>
    <w:rsid w:val="00582E3D"/>
    <w:rsid w:val="00582E40"/>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CE3"/>
    <w:rsid w:val="005D6E1C"/>
    <w:rsid w:val="005D7458"/>
    <w:rsid w:val="005D74B7"/>
    <w:rsid w:val="005D7539"/>
    <w:rsid w:val="005D759A"/>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812"/>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C92"/>
    <w:rsid w:val="00624FB3"/>
    <w:rsid w:val="00625B24"/>
    <w:rsid w:val="0062657C"/>
    <w:rsid w:val="00626C25"/>
    <w:rsid w:val="00626E64"/>
    <w:rsid w:val="0062725A"/>
    <w:rsid w:val="00627338"/>
    <w:rsid w:val="00627BA3"/>
    <w:rsid w:val="00627C39"/>
    <w:rsid w:val="00627E44"/>
    <w:rsid w:val="006300D7"/>
    <w:rsid w:val="00630333"/>
    <w:rsid w:val="00631007"/>
    <w:rsid w:val="00631775"/>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47A"/>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CF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025"/>
    <w:rsid w:val="006A5A45"/>
    <w:rsid w:val="006A5C57"/>
    <w:rsid w:val="006A5CA3"/>
    <w:rsid w:val="006A5D5C"/>
    <w:rsid w:val="006A5E26"/>
    <w:rsid w:val="006A6B3F"/>
    <w:rsid w:val="006A6B69"/>
    <w:rsid w:val="006A6CC3"/>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7C2"/>
    <w:rsid w:val="006B7864"/>
    <w:rsid w:val="006B7873"/>
    <w:rsid w:val="006B7D27"/>
    <w:rsid w:val="006C03B2"/>
    <w:rsid w:val="006C04CC"/>
    <w:rsid w:val="006C09DD"/>
    <w:rsid w:val="006C0B08"/>
    <w:rsid w:val="006C0F81"/>
    <w:rsid w:val="006C1142"/>
    <w:rsid w:val="006C1A29"/>
    <w:rsid w:val="006C1B3F"/>
    <w:rsid w:val="006C1F77"/>
    <w:rsid w:val="006C22BD"/>
    <w:rsid w:val="006C2604"/>
    <w:rsid w:val="006C30C3"/>
    <w:rsid w:val="006C3309"/>
    <w:rsid w:val="006C3664"/>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D49"/>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1FEC"/>
    <w:rsid w:val="006E20A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CAB"/>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E8E"/>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1CC"/>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317"/>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C07"/>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C43"/>
    <w:rsid w:val="00806D29"/>
    <w:rsid w:val="00806F5E"/>
    <w:rsid w:val="00807001"/>
    <w:rsid w:val="00807365"/>
    <w:rsid w:val="0080770D"/>
    <w:rsid w:val="00807D28"/>
    <w:rsid w:val="00807D5E"/>
    <w:rsid w:val="00807E1B"/>
    <w:rsid w:val="008100D3"/>
    <w:rsid w:val="0081012C"/>
    <w:rsid w:val="00810DE9"/>
    <w:rsid w:val="00810EAE"/>
    <w:rsid w:val="00811036"/>
    <w:rsid w:val="0081160C"/>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E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029"/>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F8E"/>
    <w:rsid w:val="0087763F"/>
    <w:rsid w:val="00877C45"/>
    <w:rsid w:val="00877C57"/>
    <w:rsid w:val="00877FA3"/>
    <w:rsid w:val="008802C7"/>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D7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C95"/>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5D6A"/>
    <w:rsid w:val="008F6188"/>
    <w:rsid w:val="008F6649"/>
    <w:rsid w:val="008F692B"/>
    <w:rsid w:val="008F6BEF"/>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3E7"/>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26"/>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AD2"/>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A9A"/>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BD"/>
    <w:rsid w:val="009C3244"/>
    <w:rsid w:val="009C3D88"/>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DDB"/>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6E1"/>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B6"/>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3EB"/>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312"/>
    <w:rsid w:val="00A5044D"/>
    <w:rsid w:val="00A50A40"/>
    <w:rsid w:val="00A50B00"/>
    <w:rsid w:val="00A50D49"/>
    <w:rsid w:val="00A511FB"/>
    <w:rsid w:val="00A514EB"/>
    <w:rsid w:val="00A521E0"/>
    <w:rsid w:val="00A524C8"/>
    <w:rsid w:val="00A5291D"/>
    <w:rsid w:val="00A52EDB"/>
    <w:rsid w:val="00A532E0"/>
    <w:rsid w:val="00A53B48"/>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D7E"/>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0FF3"/>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D8"/>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657"/>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3EE9"/>
    <w:rsid w:val="00AD4597"/>
    <w:rsid w:val="00AD4718"/>
    <w:rsid w:val="00AD48F9"/>
    <w:rsid w:val="00AD4C34"/>
    <w:rsid w:val="00AD4EA7"/>
    <w:rsid w:val="00AD4FA4"/>
    <w:rsid w:val="00AD57E1"/>
    <w:rsid w:val="00AD5F7C"/>
    <w:rsid w:val="00AD6980"/>
    <w:rsid w:val="00AD6C7F"/>
    <w:rsid w:val="00AD70C9"/>
    <w:rsid w:val="00AD732B"/>
    <w:rsid w:val="00AD75A6"/>
    <w:rsid w:val="00AD7927"/>
    <w:rsid w:val="00AD7CC3"/>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D0"/>
    <w:rsid w:val="00B215F9"/>
    <w:rsid w:val="00B2167B"/>
    <w:rsid w:val="00B217CD"/>
    <w:rsid w:val="00B21B67"/>
    <w:rsid w:val="00B21CA7"/>
    <w:rsid w:val="00B2244C"/>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885"/>
    <w:rsid w:val="00B31DDA"/>
    <w:rsid w:val="00B31E5F"/>
    <w:rsid w:val="00B31EC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1C"/>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1A0"/>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3BE"/>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40"/>
    <w:rsid w:val="00BF17E0"/>
    <w:rsid w:val="00BF18B9"/>
    <w:rsid w:val="00BF1B70"/>
    <w:rsid w:val="00BF2047"/>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BF7F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BB7"/>
    <w:rsid w:val="00C32C04"/>
    <w:rsid w:val="00C32CCE"/>
    <w:rsid w:val="00C337EC"/>
    <w:rsid w:val="00C339DE"/>
    <w:rsid w:val="00C33AA7"/>
    <w:rsid w:val="00C33C0B"/>
    <w:rsid w:val="00C33DCE"/>
    <w:rsid w:val="00C3463A"/>
    <w:rsid w:val="00C346BB"/>
    <w:rsid w:val="00C346C1"/>
    <w:rsid w:val="00C34B33"/>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6"/>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534"/>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6D9"/>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635"/>
    <w:rsid w:val="00D957C0"/>
    <w:rsid w:val="00D95BC2"/>
    <w:rsid w:val="00D95BFF"/>
    <w:rsid w:val="00D95F45"/>
    <w:rsid w:val="00D96496"/>
    <w:rsid w:val="00D96AD5"/>
    <w:rsid w:val="00D970BF"/>
    <w:rsid w:val="00D97860"/>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3F7"/>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3D9"/>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6C"/>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4D2"/>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2E"/>
    <w:rsid w:val="00EA5029"/>
    <w:rsid w:val="00EA5335"/>
    <w:rsid w:val="00EA55DB"/>
    <w:rsid w:val="00EA630B"/>
    <w:rsid w:val="00EA6350"/>
    <w:rsid w:val="00EA66FA"/>
    <w:rsid w:val="00EA6C3C"/>
    <w:rsid w:val="00EA6E29"/>
    <w:rsid w:val="00EA7560"/>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2B39"/>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D2B"/>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27F"/>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151"/>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6CD0"/>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75D"/>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4F91"/>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DC2"/>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987"/>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99"/>
    <w:rsid w:val="00FB62F2"/>
    <w:rsid w:val="00FB660E"/>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6AC"/>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5200464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02CE167A-D636-49C5-A32E-05F5EEE5C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1BAFCC-1738-416B-90D2-C3F90DDF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829</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TSG-RAN WG1 #84</vt:lpstr>
      <vt:lpstr>Introduction</vt:lpstr>
      <vt:lpstr>Number of HARQ Processes</vt:lpstr>
      <vt:lpstr>Enhanced UL Feedbacks </vt:lpstr>
      <vt:lpstr>Conclusions</vt:lpstr>
      <vt:lpstr>References	</vt:lpstr>
    </vt:vector>
  </TitlesOfParts>
  <Company>Qualcomm Inc.</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2019-11-08T23:42:00Z</dcterms:created>
  <dcterms:modified xsi:type="dcterms:W3CDTF">2019-11-08T23:43:00Z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